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公告6：</w:t>
      </w:r>
      <w:bookmarkStart w:id="0" w:name="_GoBack"/>
      <w:bookmarkEnd w:id="0"/>
    </w:p>
    <w:p>
      <w:pPr>
        <w:widowControl/>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widowControl/>
        <w:jc w:val="center"/>
        <w:rPr>
          <w:rFonts w:hint="eastAsia" w:ascii="黑体" w:hAnsi="黑体" w:eastAsia="黑体" w:cs="黑体"/>
          <w:b/>
          <w:spacing w:val="-17"/>
          <w:kern w:val="0"/>
          <w:sz w:val="28"/>
          <w:szCs w:val="28"/>
        </w:rPr>
      </w:pP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widowControl/>
        <w:ind w:left="8" w:firstLine="630" w:firstLineChars="196"/>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lang w:eastAsia="zh-CN"/>
        </w:rPr>
        <w:t>巨厚砾岩下仰采不规则煤柱冲击地压注浆充填区域治理技术研究</w:t>
      </w:r>
    </w:p>
    <w:p>
      <w:pPr>
        <w:widowControl/>
        <w:ind w:left="8" w:firstLine="630" w:firstLineChars="196"/>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注：</w:t>
      </w:r>
      <w:r>
        <w:rPr>
          <w:rFonts w:hint="eastAsia" w:ascii="仿宋" w:hAnsi="仿宋" w:eastAsia="仿宋" w:cs="仿宋"/>
          <w:b w:val="0"/>
          <w:bCs w:val="0"/>
          <w:kern w:val="0"/>
          <w:sz w:val="32"/>
          <w:szCs w:val="32"/>
        </w:rPr>
        <w:t>《关于下达河南能源集团2024年科技研发项目计划的通知》（豫能办〔2024〕95号），项目编号</w:t>
      </w:r>
      <w:r>
        <w:rPr>
          <w:rFonts w:hint="eastAsia" w:ascii="仿宋" w:hAnsi="仿宋" w:eastAsia="仿宋" w:cs="仿宋"/>
          <w:b w:val="0"/>
          <w:bCs w:val="0"/>
          <w:kern w:val="0"/>
          <w:sz w:val="32"/>
          <w:szCs w:val="32"/>
          <w:lang w:eastAsia="zh-CN"/>
        </w:rPr>
        <w:t>2024-03-4</w:t>
      </w:r>
      <w:r>
        <w:rPr>
          <w:rFonts w:hint="eastAsia" w:ascii="仿宋" w:hAnsi="仿宋" w:eastAsia="仿宋" w:cs="仿宋"/>
          <w:b w:val="0"/>
          <w:bCs w:val="0"/>
          <w:kern w:val="0"/>
          <w:sz w:val="32"/>
          <w:szCs w:val="32"/>
        </w:rPr>
        <w:t>。</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二、需求目标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揭示巨厚砾岩下空间煤柱仰采中覆岩运动演化规律，研究仰采不规则空间煤柱煤体强度、储能特性、冲击应力和能量积聚规律，明确煤体变形、破坏和冲击前兆特征，建立煤柱失稳冲击力学判据，揭示冲击机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2.针对MZ21020回采工作面地质及开采技术条件，结合义煤集团已有的地面离层注浆工程技术经验，通过理论研究和数值模拟综合分析地面离层注浆充填和采空区注浆充填对冲击地压区域治理的可行性。根据可行性研究的结果，设计MZ21020回采工作面地面离层注浆和采空区注浆充填或其他冲击地压区域治理的方案，并对冲击地压区域治理的效果进行分析与验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3.根据实际布置冲击地压区域→局部监测点，对监测数据不断动态调整，得到冲击地压监测方案、预警指标，并形成标准化监测预警体系。</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4.跟踪现场治理效果，对现场冲击地压防治人员进行技术指导，提高冲击地压防治技术水平，形成适用于义马煤田巨厚砾岩下仰采不规则煤柱工作面的区域治理成套技术体系。</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三、考核指标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1.根据现场实践与驻矿分析，研究巨厚砾岩下空间煤柱仰采中覆岩运动演化规律，针对MZ21020回采工作面地质及开采技术条件，形成适用于义马煤田巨厚砾岩下仰采不规则煤柱工作面的区域治理成套技术体系。</w:t>
      </w:r>
    </w:p>
    <w:p>
      <w:pPr>
        <w:ind w:firstLine="640" w:firstLineChars="200"/>
        <w:jc w:val="left"/>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2.提交</w:t>
      </w:r>
      <w:r>
        <w:rPr>
          <w:rFonts w:hint="eastAsia" w:ascii="仿宋" w:hAnsi="仿宋" w:eastAsia="仿宋" w:cs="仿宋"/>
          <w:b w:val="0"/>
          <w:bCs w:val="0"/>
          <w:kern w:val="0"/>
          <w:sz w:val="32"/>
          <w:szCs w:val="32"/>
          <w:lang w:eastAsia="zh-CN"/>
        </w:rPr>
        <w:t>巨厚砾岩下仰采不规则煤柱冲击地压注浆充填区域治理技术研究</w:t>
      </w:r>
      <w:r>
        <w:rPr>
          <w:rFonts w:hint="eastAsia" w:ascii="仿宋" w:hAnsi="仿宋" w:eastAsia="仿宋" w:cs="仿宋"/>
          <w:bCs/>
          <w:sz w:val="32"/>
          <w:szCs w:val="32"/>
        </w:rPr>
        <w:t>报告</w:t>
      </w:r>
      <w:r>
        <w:rPr>
          <w:rFonts w:hint="eastAsia" w:ascii="仿宋" w:hAnsi="仿宋" w:eastAsia="仿宋" w:cs="仿宋"/>
          <w:bCs/>
          <w:sz w:val="32"/>
          <w:szCs w:val="32"/>
          <w:lang w:eastAsia="zh-CN"/>
        </w:rPr>
        <w:t>。</w:t>
      </w:r>
      <w:r>
        <w:rPr>
          <w:rFonts w:hint="eastAsia" w:ascii="仿宋" w:hAnsi="仿宋" w:eastAsia="仿宋" w:cs="仿宋"/>
          <w:bCs/>
          <w:sz w:val="32"/>
          <w:szCs w:val="32"/>
        </w:rPr>
        <w:t>为同类</w:t>
      </w:r>
      <w:r>
        <w:rPr>
          <w:rFonts w:hint="eastAsia" w:ascii="仿宋" w:hAnsi="仿宋" w:eastAsia="仿宋" w:cs="仿宋"/>
          <w:bCs/>
          <w:sz w:val="32"/>
          <w:szCs w:val="32"/>
          <w:lang w:eastAsia="zh-CN"/>
        </w:rPr>
        <w:t>灾害影响</w:t>
      </w:r>
      <w:r>
        <w:rPr>
          <w:rFonts w:hint="eastAsia" w:ascii="仿宋" w:hAnsi="仿宋" w:eastAsia="仿宋" w:cs="仿宋"/>
          <w:bCs/>
          <w:sz w:val="32"/>
          <w:szCs w:val="32"/>
        </w:rPr>
        <w:t>矿井提供参考资料，进而提升针对</w:t>
      </w:r>
      <w:r>
        <w:rPr>
          <w:rFonts w:hint="eastAsia" w:ascii="仿宋" w:hAnsi="仿宋" w:eastAsia="仿宋" w:cs="仿宋"/>
          <w:b w:val="0"/>
          <w:bCs w:val="0"/>
          <w:kern w:val="0"/>
          <w:sz w:val="32"/>
          <w:szCs w:val="32"/>
          <w:lang w:eastAsia="zh-CN"/>
        </w:rPr>
        <w:t>巨厚砾岩下仰采不规则煤柱</w:t>
      </w:r>
      <w:r>
        <w:rPr>
          <w:rFonts w:hint="eastAsia" w:ascii="仿宋" w:hAnsi="仿宋" w:eastAsia="仿宋" w:cs="仿宋"/>
          <w:b w:val="0"/>
          <w:bCs w:val="0"/>
          <w:kern w:val="0"/>
          <w:sz w:val="32"/>
          <w:szCs w:val="32"/>
          <w:lang w:val="en-US" w:eastAsia="zh-CN"/>
        </w:rPr>
        <w:t>冲击地压</w:t>
      </w:r>
      <w:r>
        <w:rPr>
          <w:rFonts w:hint="eastAsia" w:ascii="仿宋" w:hAnsi="仿宋" w:eastAsia="仿宋" w:cs="仿宋"/>
          <w:bCs/>
          <w:sz w:val="32"/>
          <w:szCs w:val="32"/>
        </w:rPr>
        <w:t>防治</w:t>
      </w:r>
      <w:r>
        <w:rPr>
          <w:rFonts w:hint="eastAsia" w:ascii="仿宋" w:hAnsi="仿宋" w:eastAsia="仿宋" w:cs="仿宋"/>
          <w:bCs/>
          <w:sz w:val="32"/>
          <w:szCs w:val="32"/>
          <w:lang w:val="en-US" w:eastAsia="zh-CN"/>
        </w:rPr>
        <w:t>技术</w:t>
      </w:r>
      <w:r>
        <w:rPr>
          <w:rFonts w:hint="eastAsia" w:ascii="仿宋" w:hAnsi="仿宋" w:eastAsia="仿宋" w:cs="仿宋"/>
          <w:bCs/>
          <w:sz w:val="32"/>
          <w:szCs w:val="32"/>
        </w:rPr>
        <w:t>，</w:t>
      </w:r>
      <w:r>
        <w:rPr>
          <w:rFonts w:hint="eastAsia" w:ascii="仿宋" w:hAnsi="仿宋" w:eastAsia="仿宋" w:cs="仿宋"/>
          <w:bCs/>
          <w:sz w:val="32"/>
          <w:szCs w:val="32"/>
          <w:lang w:val="en-US" w:eastAsia="zh-CN"/>
        </w:rPr>
        <w:t>为义马矿区工作面安全回采制定有效的冲击地压源头防治措施提供科学依据，全面提升义马矿区冲击地压灾害防控的理论认知水平。</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3.申请</w:t>
      </w:r>
      <w:r>
        <w:rPr>
          <w:rFonts w:hint="eastAsia" w:ascii="仿宋" w:hAnsi="仿宋" w:eastAsia="仿宋" w:cs="仿宋"/>
          <w:b w:val="0"/>
          <w:bCs w:val="0"/>
          <w:kern w:val="0"/>
          <w:sz w:val="32"/>
          <w:szCs w:val="32"/>
          <w:lang w:eastAsia="zh-CN"/>
        </w:rPr>
        <w:t>巨厚砾岩下仰采不规则煤柱</w:t>
      </w:r>
      <w:r>
        <w:rPr>
          <w:rFonts w:hint="eastAsia" w:ascii="仿宋" w:hAnsi="仿宋" w:eastAsia="仿宋" w:cs="仿宋"/>
          <w:b w:val="0"/>
          <w:bCs w:val="0"/>
          <w:kern w:val="0"/>
          <w:sz w:val="32"/>
          <w:szCs w:val="32"/>
          <w:lang w:val="en-US" w:eastAsia="zh-CN"/>
        </w:rPr>
        <w:t>冲击地压</w:t>
      </w:r>
      <w:r>
        <w:rPr>
          <w:rFonts w:hint="eastAsia" w:ascii="仿宋" w:hAnsi="仿宋" w:eastAsia="仿宋" w:cs="仿宋"/>
          <w:bCs/>
          <w:sz w:val="32"/>
          <w:szCs w:val="32"/>
        </w:rPr>
        <w:t>防治综合治理</w:t>
      </w:r>
      <w:r>
        <w:rPr>
          <w:rFonts w:hint="eastAsia" w:ascii="仿宋" w:hAnsi="仿宋" w:eastAsia="仿宋" w:cs="仿宋"/>
          <w:bCs/>
          <w:sz w:val="32"/>
          <w:szCs w:val="32"/>
          <w:lang w:eastAsia="zh-CN"/>
        </w:rPr>
        <w:t>相关</w:t>
      </w:r>
      <w:r>
        <w:rPr>
          <w:rFonts w:hint="eastAsia" w:ascii="仿宋" w:hAnsi="仿宋" w:eastAsia="仿宋" w:cs="仿宋"/>
          <w:kern w:val="0"/>
          <w:sz w:val="32"/>
          <w:szCs w:val="32"/>
        </w:rPr>
        <w:t>发明专利</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发表核心论文不少于</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篇。</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4.研究成果经第三方鉴定，达到国内领先及以上水平。</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四、实施期限</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年12月底之前。</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榜单限额</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kern w:val="0"/>
          <w:sz w:val="32"/>
          <w:szCs w:val="32"/>
        </w:rPr>
        <w:t>委外研究费用不超过</w:t>
      </w:r>
      <w:r>
        <w:rPr>
          <w:rFonts w:hint="eastAsia" w:ascii="仿宋" w:hAnsi="仿宋" w:eastAsia="仿宋" w:cs="仿宋"/>
          <w:color w:val="auto"/>
          <w:kern w:val="0"/>
          <w:sz w:val="32"/>
          <w:szCs w:val="32"/>
          <w:lang w:val="en-US" w:eastAsia="zh-CN"/>
        </w:rPr>
        <w:t>121万。</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六、揭榜方条件</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揭榜方挂帅者实行“谁有能力谁就揭榜挂帅”的原则。挂帅者作为研发团队带头人，无年龄、学历和职称要求，但应在矿井水害防治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4.挂帅者应保证在项目实施期间的工作时间和工作量，原则在义煤公司内部同时承担项目数量不超过2项。</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5.符合榜单要求的其他条件。</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七、知识产权归属及利益分配</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1.专利或软著：第一完成单位为义马煤业集团股份有限公司。</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2.论文：第一作者为义马煤业集团股份有限公司人员。</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3.科技成果：鉴定成果的第一完成单位为义马煤业集团股份有限公司，完成人员名次可协商确定。</w:t>
      </w:r>
    </w:p>
    <w:p>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4.本项目中的知识产权以后所产生的利益均归属义马煤业集团股份有限公司。</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八、预期成果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1</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通过研究巨厚砾岩下空间煤柱仰采中覆岩运动演化规律，形成适用于义马煤田巨厚砾岩下仰采不规则煤柱工作面的区域治理成套技术体系。</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w:t>
      </w:r>
      <w:r>
        <w:rPr>
          <w:rFonts w:hint="eastAsia" w:ascii="仿宋" w:hAnsi="仿宋" w:eastAsia="仿宋" w:cs="仿宋"/>
          <w:color w:val="auto"/>
          <w:kern w:val="0"/>
          <w:sz w:val="32"/>
          <w:szCs w:val="32"/>
          <w:lang w:eastAsia="zh-CN"/>
        </w:rPr>
        <w:t>.</w:t>
      </w:r>
      <w:r>
        <w:rPr>
          <w:rFonts w:hint="eastAsia" w:ascii="仿宋" w:hAnsi="仿宋" w:eastAsia="仿宋" w:cs="仿宋"/>
          <w:bCs/>
          <w:sz w:val="32"/>
          <w:szCs w:val="32"/>
          <w:lang w:val="en-US" w:eastAsia="zh-CN"/>
        </w:rPr>
        <w:t>提交</w:t>
      </w:r>
      <w:r>
        <w:rPr>
          <w:rFonts w:hint="eastAsia" w:ascii="仿宋" w:hAnsi="仿宋" w:eastAsia="仿宋" w:cs="仿宋"/>
          <w:b w:val="0"/>
          <w:bCs w:val="0"/>
          <w:kern w:val="0"/>
          <w:sz w:val="32"/>
          <w:szCs w:val="32"/>
          <w:lang w:eastAsia="zh-CN"/>
        </w:rPr>
        <w:t>巨厚砾岩下仰采不规则煤柱冲击地压注浆充填区域治理技术研究</w:t>
      </w:r>
      <w:r>
        <w:rPr>
          <w:rFonts w:hint="eastAsia" w:ascii="仿宋" w:hAnsi="仿宋" w:eastAsia="仿宋" w:cs="仿宋"/>
          <w:bCs/>
          <w:sz w:val="32"/>
          <w:szCs w:val="32"/>
        </w:rPr>
        <w:t>报告</w:t>
      </w:r>
      <w:r>
        <w:rPr>
          <w:rFonts w:hint="eastAsia" w:ascii="仿宋" w:hAnsi="仿宋" w:eastAsia="仿宋" w:cs="仿宋"/>
          <w:color w:val="auto"/>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3</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在核心期刊上发表论文</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篇、申请发明专利</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项</w:t>
      </w:r>
      <w:r>
        <w:rPr>
          <w:rFonts w:hint="eastAsia" w:ascii="仿宋" w:hAnsi="仿宋" w:eastAsia="仿宋" w:cs="仿宋"/>
          <w:color w:val="auto"/>
          <w:kern w:val="0"/>
          <w:sz w:val="32"/>
          <w:szCs w:val="32"/>
          <w:lang w:val="en-US" w:eastAsia="zh-CN"/>
        </w:rPr>
        <w:t>。</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九、应用场景</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研究成果对义马矿区其它矿井末期</w:t>
      </w:r>
      <w:r>
        <w:rPr>
          <w:rFonts w:hint="eastAsia" w:ascii="仿宋" w:hAnsi="仿宋" w:eastAsia="仿宋" w:cs="仿宋"/>
          <w:color w:val="auto"/>
          <w:kern w:val="0"/>
          <w:sz w:val="32"/>
          <w:szCs w:val="32"/>
          <w:lang w:eastAsia="zh-CN"/>
        </w:rPr>
        <w:t>的</w:t>
      </w:r>
      <w:r>
        <w:rPr>
          <w:rFonts w:hint="eastAsia" w:ascii="仿宋" w:hAnsi="仿宋" w:eastAsia="仿宋" w:cs="仿宋"/>
          <w:color w:val="auto"/>
          <w:kern w:val="0"/>
          <w:sz w:val="32"/>
          <w:szCs w:val="32"/>
        </w:rPr>
        <w:t>大巷和下山煤柱安全回收具有直接指导和借鉴意义。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a0662d09-938f-4e6c-8c49-35ccef7f3a55"/>
  </w:docVars>
  <w:rsids>
    <w:rsidRoot w:val="2C211F54"/>
    <w:rsid w:val="051660D6"/>
    <w:rsid w:val="05842350"/>
    <w:rsid w:val="07BC03BE"/>
    <w:rsid w:val="0A5A5514"/>
    <w:rsid w:val="0C9E2655"/>
    <w:rsid w:val="0CE628BA"/>
    <w:rsid w:val="15B5494D"/>
    <w:rsid w:val="1BE717AC"/>
    <w:rsid w:val="2167010E"/>
    <w:rsid w:val="2C211F54"/>
    <w:rsid w:val="30742780"/>
    <w:rsid w:val="310D500A"/>
    <w:rsid w:val="314D040F"/>
    <w:rsid w:val="32F81681"/>
    <w:rsid w:val="39AF0057"/>
    <w:rsid w:val="4B950124"/>
    <w:rsid w:val="50B53C71"/>
    <w:rsid w:val="582738CD"/>
    <w:rsid w:val="5F1255E5"/>
    <w:rsid w:val="646527EB"/>
    <w:rsid w:val="77722263"/>
    <w:rsid w:val="77BF75EA"/>
    <w:rsid w:val="79EA1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Body Text 3"/>
    <w:basedOn w:val="1"/>
    <w:qFormat/>
    <w:uiPriority w:val="0"/>
    <w:pPr>
      <w:spacing w:line="440" w:lineRule="exact"/>
    </w:pPr>
    <w:rPr>
      <w:b/>
      <w:sz w:val="28"/>
      <w:szCs w:val="20"/>
    </w:rPr>
  </w:style>
  <w:style w:type="paragraph" w:styleId="13">
    <w:name w:val="Body Text Indent"/>
    <w:basedOn w:val="1"/>
    <w:next w:val="1"/>
    <w:unhideWhenUsed/>
    <w:qFormat/>
    <w:uiPriority w:val="0"/>
    <w:pPr>
      <w:spacing w:after="120"/>
      <w:ind w:left="420" w:leftChars="200"/>
    </w:pPr>
  </w:style>
  <w:style w:type="paragraph" w:styleId="14">
    <w:name w:val="footer"/>
    <w:basedOn w:val="1"/>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rPr>
      <w:sz w:val="24"/>
    </w:rPr>
  </w:style>
  <w:style w:type="paragraph" w:styleId="17">
    <w:name w:val="Body Text First Indent 2"/>
    <w:basedOn w:val="13"/>
    <w:qFormat/>
    <w:uiPriority w:val="0"/>
    <w:pPr>
      <w:snapToGrid w:val="0"/>
      <w:ind w:firstLine="420" w:firstLineChars="200"/>
    </w:pPr>
    <w:rPr>
      <w:szCs w:val="24"/>
    </w:rPr>
  </w:style>
  <w:style w:type="character" w:customStyle="1" w:styleId="20">
    <w:name w:val="font101"/>
    <w:qFormat/>
    <w:uiPriority w:val="0"/>
    <w:rPr>
      <w:rFonts w:hint="eastAsia" w:ascii="宋体" w:hAnsi="宋体" w:eastAsia="宋体" w:cs="宋体"/>
      <w:color w:val="000000"/>
      <w:sz w:val="20"/>
      <w:szCs w:val="20"/>
      <w:u w:val="none"/>
    </w:rPr>
  </w:style>
  <w:style w:type="paragraph" w:styleId="21">
    <w:name w:val="List Paragraph"/>
    <w:basedOn w:val="1"/>
    <w:unhideWhenUsed/>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1631</Words>
  <Characters>1690</Characters>
  <Lines>0</Lines>
  <Paragraphs>0</Paragraphs>
  <TotalTime>0</TotalTime>
  <ScaleCrop>false</ScaleCrop>
  <LinksUpToDate>false</LinksUpToDate>
  <CharactersWithSpaces>1690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2024-04-02T02:16:00Z</dcterms:created>
  <dc:creator>晴天</dc:creator>
  <cp:lastModifiedBy>郝娅小A</cp:lastModifiedBy>
  <cp:lastPrinted>2024-06-03T09:55:58Z</cp:lastPrinted>
  <dcterms:modified xsi:type="dcterms:W3CDTF">2024-06-03T09:56:01Z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17BE505219774D0BBA88C01EE1EA8891_13</vt:lpwstr>
  </property>
</Properties>
</file>